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F" w:rsidRDefault="0043002F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695450" cy="144076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G56_RVB_courr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06" cy="14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2F" w:rsidRDefault="0043002F">
      <w:pPr>
        <w:rPr>
          <w:lang w:val="fr-FR"/>
        </w:rPr>
      </w:pPr>
    </w:p>
    <w:p w:rsidR="00896AE7" w:rsidRPr="0043002F" w:rsidRDefault="0043002F">
      <w:pPr>
        <w:rPr>
          <w:b/>
          <w:lang w:val="fr-FR"/>
        </w:rPr>
      </w:pPr>
      <w:r w:rsidRPr="0043002F">
        <w:rPr>
          <w:b/>
          <w:lang w:val="fr-FR"/>
        </w:rPr>
        <w:t>RD 306 – contournement est de GUIDEL</w:t>
      </w:r>
    </w:p>
    <w:p w:rsidR="0043002F" w:rsidRPr="0043002F" w:rsidRDefault="0043002F">
      <w:pPr>
        <w:rPr>
          <w:b/>
          <w:lang w:val="fr-FR"/>
        </w:rPr>
      </w:pPr>
      <w:r w:rsidRPr="0043002F">
        <w:rPr>
          <w:b/>
          <w:lang w:val="fr-FR"/>
        </w:rPr>
        <w:t>Demande d’autorisation de défrichement</w:t>
      </w:r>
    </w:p>
    <w:p w:rsidR="0043002F" w:rsidRPr="0043002F" w:rsidRDefault="00A15DE3">
      <w:pPr>
        <w:rPr>
          <w:b/>
          <w:lang w:val="fr-FR"/>
        </w:rPr>
      </w:pPr>
      <w:r>
        <w:rPr>
          <w:b/>
          <w:lang w:val="fr-FR"/>
        </w:rPr>
        <w:t xml:space="preserve">ETUDE D’IMPACT </w:t>
      </w:r>
      <w:r w:rsidR="0043002F" w:rsidRPr="0043002F">
        <w:rPr>
          <w:b/>
          <w:lang w:val="fr-FR"/>
        </w:rPr>
        <w:t>NOTICE EXPLICATIVE</w:t>
      </w:r>
    </w:p>
    <w:p w:rsidR="0043002F" w:rsidRDefault="0043002F">
      <w:pPr>
        <w:rPr>
          <w:lang w:val="fr-FR"/>
        </w:rPr>
        <w:sectPr w:rsidR="0043002F" w:rsidSect="0043002F"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43002F" w:rsidRDefault="0043002F">
      <w:pPr>
        <w:rPr>
          <w:lang w:val="fr-FR"/>
        </w:rPr>
      </w:pPr>
    </w:p>
    <w:p w:rsidR="0043002F" w:rsidRPr="00630857" w:rsidRDefault="0043002F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Le projet de contournement est de Guidel a été déclaré d’utilité publique par arrêté préfectoral en date du 04 octobre 2006</w:t>
      </w:r>
      <w:r w:rsidR="00630857" w:rsidRPr="00630857">
        <w:rPr>
          <w:rStyle w:val="Appelnotedebasdep"/>
          <w:sz w:val="20"/>
          <w:szCs w:val="20"/>
          <w:lang w:val="fr-FR"/>
        </w:rPr>
        <w:footnoteReference w:id="1"/>
      </w:r>
      <w:r w:rsidRPr="00630857">
        <w:rPr>
          <w:sz w:val="20"/>
          <w:szCs w:val="20"/>
          <w:lang w:val="fr-FR"/>
        </w:rPr>
        <w:t>.</w:t>
      </w:r>
    </w:p>
    <w:p w:rsidR="0043002F" w:rsidRPr="00630857" w:rsidRDefault="0043002F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Il a également fait l’objet des autorisations environnementales suivantes :</w:t>
      </w:r>
    </w:p>
    <w:p w:rsidR="0043002F" w:rsidRPr="00630857" w:rsidRDefault="0043002F" w:rsidP="0043002F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Un arrêté de dérogation « espèces protégées</w:t>
      </w:r>
      <w:r w:rsidR="00630857" w:rsidRPr="00630857">
        <w:rPr>
          <w:sz w:val="20"/>
          <w:szCs w:val="20"/>
          <w:lang w:val="fr-FR"/>
        </w:rPr>
        <w:t> »</w:t>
      </w:r>
      <w:r w:rsidRPr="00630857">
        <w:rPr>
          <w:sz w:val="20"/>
          <w:szCs w:val="20"/>
          <w:lang w:val="fr-FR"/>
        </w:rPr>
        <w:t>  en date du 18 novembre 2015.</w:t>
      </w:r>
    </w:p>
    <w:p w:rsidR="0043002F" w:rsidRPr="00630857" w:rsidRDefault="0043002F" w:rsidP="0043002F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Un arrêté d’autorisation au titre de la loi sur l’eau en date du 21 mars 2016.</w:t>
      </w:r>
    </w:p>
    <w:p w:rsidR="0043002F" w:rsidRPr="00630857" w:rsidRDefault="0043002F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 xml:space="preserve">Dans le cadre de la demande d’autorisation de défrichement, le conseil départemental a déposé une demande d’examen au cas </w:t>
      </w:r>
      <w:r w:rsidR="00A15DE3" w:rsidRPr="00630857">
        <w:rPr>
          <w:sz w:val="20"/>
          <w:szCs w:val="20"/>
          <w:lang w:val="fr-FR"/>
        </w:rPr>
        <w:t xml:space="preserve">par cas </w:t>
      </w:r>
      <w:r w:rsidRPr="00630857">
        <w:rPr>
          <w:sz w:val="20"/>
          <w:szCs w:val="20"/>
          <w:lang w:val="fr-FR"/>
        </w:rPr>
        <w:t>le 07 janvier 2016.</w:t>
      </w:r>
    </w:p>
    <w:p w:rsidR="0043002F" w:rsidRPr="00630857" w:rsidRDefault="0043002F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Dans son avis</w:t>
      </w:r>
      <w:r w:rsidR="00A15DE3" w:rsidRPr="00630857">
        <w:rPr>
          <w:sz w:val="20"/>
          <w:szCs w:val="20"/>
          <w:lang w:val="fr-FR"/>
        </w:rPr>
        <w:t xml:space="preserve"> du 12 février 2016,</w:t>
      </w:r>
      <w:r w:rsidRPr="00630857">
        <w:rPr>
          <w:sz w:val="20"/>
          <w:szCs w:val="20"/>
          <w:lang w:val="fr-FR"/>
        </w:rPr>
        <w:t xml:space="preserve"> le préfet de région affirme la nécessité de voir le dossier de demande d’autorisation de défrichement accompagné d’une étude d’impact.</w:t>
      </w:r>
    </w:p>
    <w:p w:rsidR="0043002F" w:rsidRPr="00630857" w:rsidRDefault="00A15DE3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L’étude d’impact réalisée dans le cadre de la procédure  de déclaration d’utilité publique est donc jointe au dossier. Elle est complétée</w:t>
      </w:r>
      <w:r w:rsidR="0043002F" w:rsidRPr="00630857">
        <w:rPr>
          <w:sz w:val="20"/>
          <w:szCs w:val="20"/>
          <w:lang w:val="fr-FR"/>
        </w:rPr>
        <w:t xml:space="preserve"> </w:t>
      </w:r>
      <w:r w:rsidRPr="00630857">
        <w:rPr>
          <w:sz w:val="20"/>
          <w:szCs w:val="20"/>
          <w:lang w:val="fr-FR"/>
        </w:rPr>
        <w:t>par le document ayant servi de base aux demandes d’autorisations environnementales (notamment au dossier loi sur l’eau, plus récent et plus complet). Celui-ci doit en effet être regardé comme une actualisation de l’étude d’impact originelle de 2005.</w:t>
      </w:r>
    </w:p>
    <w:p w:rsidR="00630857" w:rsidRPr="00630857" w:rsidRDefault="00A15DE3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Dans un souci de clarté, les parties tenant strictement au formalisme de l’autorisation « Loi sur l’eau » ont été masquées</w:t>
      </w:r>
      <w:r w:rsidR="00896AE7" w:rsidRPr="00630857">
        <w:rPr>
          <w:sz w:val="20"/>
          <w:szCs w:val="20"/>
          <w:lang w:val="fr-FR"/>
        </w:rPr>
        <w:t>.</w:t>
      </w:r>
    </w:p>
    <w:p w:rsidR="00630857" w:rsidRPr="00630857" w:rsidRDefault="00630857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 xml:space="preserve">Le dossier </w:t>
      </w:r>
      <w:r w:rsidR="009E24AF">
        <w:rPr>
          <w:sz w:val="20"/>
          <w:szCs w:val="20"/>
          <w:lang w:val="fr-FR"/>
        </w:rPr>
        <w:t xml:space="preserve">complémentaire </w:t>
      </w:r>
      <w:bookmarkStart w:id="0" w:name="_GoBack"/>
      <w:bookmarkEnd w:id="0"/>
      <w:r w:rsidRPr="00630857">
        <w:rPr>
          <w:sz w:val="20"/>
          <w:szCs w:val="20"/>
          <w:lang w:val="fr-FR"/>
        </w:rPr>
        <w:t>se décompose comme suit :</w:t>
      </w:r>
    </w:p>
    <w:p w:rsidR="00630857" w:rsidRPr="00630857" w:rsidRDefault="00630857" w:rsidP="00630857">
      <w:pPr>
        <w:pStyle w:val="Paragraphedeliste"/>
        <w:numPr>
          <w:ilvl w:val="0"/>
          <w:numId w:val="2"/>
        </w:num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Etat Initial : Page 36</w:t>
      </w:r>
    </w:p>
    <w:p w:rsidR="00630857" w:rsidRPr="00630857" w:rsidRDefault="00630857" w:rsidP="00630857">
      <w:pPr>
        <w:pStyle w:val="Paragraphedeliste"/>
        <w:numPr>
          <w:ilvl w:val="0"/>
          <w:numId w:val="2"/>
        </w:num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Impacts : Page 78 (dont incidences Natura 2000)</w:t>
      </w:r>
    </w:p>
    <w:p w:rsidR="00630857" w:rsidRPr="00630857" w:rsidRDefault="00630857" w:rsidP="00630857">
      <w:pPr>
        <w:pStyle w:val="Paragraphedeliste"/>
        <w:numPr>
          <w:ilvl w:val="0"/>
          <w:numId w:val="2"/>
        </w:num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Mesures : Page 107</w:t>
      </w:r>
    </w:p>
    <w:p w:rsidR="00A15DE3" w:rsidRPr="00630857" w:rsidRDefault="00630857" w:rsidP="0043002F">
      <w:pPr>
        <w:jc w:val="both"/>
        <w:rPr>
          <w:sz w:val="20"/>
          <w:szCs w:val="20"/>
          <w:lang w:val="fr-FR"/>
        </w:rPr>
      </w:pPr>
      <w:r w:rsidRPr="00630857">
        <w:rPr>
          <w:sz w:val="20"/>
          <w:szCs w:val="20"/>
          <w:lang w:val="fr-FR"/>
        </w:rPr>
        <w:t>Les mesures présentées dans les dossiers « espèces protégées » et « Loi sur l’eau » ont été validés par le truchement des arrêtés préfectoraux du 18 novembre 2015 et du 21 mars 2016.</w:t>
      </w:r>
    </w:p>
    <w:sectPr w:rsidR="00A15DE3" w:rsidRPr="00630857" w:rsidSect="0043002F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57" w:rsidRDefault="00630857" w:rsidP="00630857">
      <w:pPr>
        <w:spacing w:after="0" w:line="240" w:lineRule="auto"/>
      </w:pPr>
      <w:r>
        <w:separator/>
      </w:r>
    </w:p>
  </w:endnote>
  <w:endnote w:type="continuationSeparator" w:id="0">
    <w:p w:rsidR="00630857" w:rsidRDefault="00630857" w:rsidP="0063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57" w:rsidRDefault="00630857" w:rsidP="00630857">
      <w:pPr>
        <w:spacing w:after="0" w:line="240" w:lineRule="auto"/>
      </w:pPr>
      <w:r>
        <w:separator/>
      </w:r>
    </w:p>
  </w:footnote>
  <w:footnote w:type="continuationSeparator" w:id="0">
    <w:p w:rsidR="00630857" w:rsidRDefault="00630857" w:rsidP="00630857">
      <w:pPr>
        <w:spacing w:after="0" w:line="240" w:lineRule="auto"/>
      </w:pPr>
      <w:r>
        <w:continuationSeparator/>
      </w:r>
    </w:p>
  </w:footnote>
  <w:footnote w:id="1">
    <w:p w:rsidR="00630857" w:rsidRPr="00630857" w:rsidRDefault="0063085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Prorogé jusqu’au 04 octobre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B3F"/>
    <w:multiLevelType w:val="hybridMultilevel"/>
    <w:tmpl w:val="266C6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7348A"/>
    <w:multiLevelType w:val="hybridMultilevel"/>
    <w:tmpl w:val="807EF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F"/>
    <w:rsid w:val="00007463"/>
    <w:rsid w:val="00040BA5"/>
    <w:rsid w:val="001820E5"/>
    <w:rsid w:val="00185AD1"/>
    <w:rsid w:val="0043002F"/>
    <w:rsid w:val="00630857"/>
    <w:rsid w:val="006A71C2"/>
    <w:rsid w:val="00825B12"/>
    <w:rsid w:val="00896AE7"/>
    <w:rsid w:val="009822AB"/>
    <w:rsid w:val="009E24AF"/>
    <w:rsid w:val="00A15DE3"/>
    <w:rsid w:val="00A90239"/>
    <w:rsid w:val="00AA24A1"/>
    <w:rsid w:val="00B6716B"/>
    <w:rsid w:val="00BA4446"/>
    <w:rsid w:val="00C945C2"/>
    <w:rsid w:val="00D812A7"/>
    <w:rsid w:val="00E477B6"/>
    <w:rsid w:val="00E9606E"/>
    <w:rsid w:val="00EF3D5B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pacing w:val="-2"/>
        <w:w w:val="105"/>
        <w:sz w:val="22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0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02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02F"/>
    <w:rPr>
      <w:rFonts w:ascii="Tahoma" w:hAnsi="Tahoma" w:cs="Tahoma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08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08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0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pacing w:val="-2"/>
        <w:w w:val="105"/>
        <w:sz w:val="22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0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02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02F"/>
    <w:rPr>
      <w:rFonts w:ascii="Tahoma" w:hAnsi="Tahoma" w:cs="Tahoma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08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08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0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65B1-2245-4FA2-8540-C7345F40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3</cp:revision>
  <cp:lastPrinted>2016-07-21T09:23:00Z</cp:lastPrinted>
  <dcterms:created xsi:type="dcterms:W3CDTF">2016-07-20T12:53:00Z</dcterms:created>
  <dcterms:modified xsi:type="dcterms:W3CDTF">2016-07-21T09:30:00Z</dcterms:modified>
</cp:coreProperties>
</file>